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ОТКРЫТОЕ АКЦИОНЕРНОЕ ОБЩЕСТВО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«Газпром трансгаз Беларусь»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 Мержинского, 4, тел/факс 285 63 32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826B3D" w:rsidRDefault="00826B3D" w:rsidP="00602B18">
      <w:pPr>
        <w:jc w:val="both"/>
        <w:rPr>
          <w:sz w:val="28"/>
          <w:szCs w:val="28"/>
        </w:rPr>
      </w:pPr>
    </w:p>
    <w:p w:rsidR="00826B3D" w:rsidRDefault="00826B3D" w:rsidP="00602B18">
      <w:pPr>
        <w:jc w:val="both"/>
        <w:rPr>
          <w:sz w:val="28"/>
          <w:szCs w:val="28"/>
        </w:rPr>
      </w:pPr>
    </w:p>
    <w:p w:rsidR="00826B3D" w:rsidRPr="00A17852" w:rsidRDefault="00826B3D" w:rsidP="00602B18">
      <w:pPr>
        <w:jc w:val="both"/>
        <w:rPr>
          <w:sz w:val="28"/>
          <w:szCs w:val="28"/>
        </w:rPr>
      </w:pPr>
    </w:p>
    <w:p w:rsidR="00826B3D" w:rsidRDefault="00826B3D" w:rsidP="00826B3D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826B3D" w:rsidRDefault="00826B3D" w:rsidP="005904CC">
      <w:pPr>
        <w:ind w:left="5103"/>
        <w:rPr>
          <w:sz w:val="28"/>
          <w:szCs w:val="28"/>
        </w:rPr>
      </w:pPr>
    </w:p>
    <w:p w:rsidR="00826B3D" w:rsidRDefault="00826B3D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6C0862" w:rsidRDefault="001D1686" w:rsidP="00B30B8B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Д</w:t>
      </w:r>
      <w:r w:rsidRPr="006C0862">
        <w:rPr>
          <w:sz w:val="30"/>
          <w:szCs w:val="30"/>
          <w:lang w:val="x-none" w:eastAsia="x-none"/>
        </w:rPr>
        <w:t xml:space="preserve">ОКУМЕНТАЦИЯ О </w:t>
      </w:r>
      <w:r w:rsidR="003E6D21" w:rsidRPr="006C0862">
        <w:rPr>
          <w:sz w:val="30"/>
          <w:szCs w:val="30"/>
          <w:lang w:eastAsia="x-none"/>
        </w:rPr>
        <w:t>МАРКЕТИНГОВ</w:t>
      </w:r>
      <w:r w:rsidR="00CC2159" w:rsidRPr="006C0862">
        <w:rPr>
          <w:sz w:val="30"/>
          <w:szCs w:val="30"/>
          <w:lang w:eastAsia="x-none"/>
        </w:rPr>
        <w:t>ЫХ</w:t>
      </w:r>
      <w:r w:rsidR="003E6D21" w:rsidRPr="006C0862">
        <w:rPr>
          <w:sz w:val="30"/>
          <w:szCs w:val="30"/>
          <w:lang w:eastAsia="x-none"/>
        </w:rPr>
        <w:t xml:space="preserve"> ИССЛЕДОВАНИ</w:t>
      </w:r>
      <w:r w:rsidR="00CC2159" w:rsidRPr="006C0862">
        <w:rPr>
          <w:sz w:val="30"/>
          <w:szCs w:val="30"/>
          <w:lang w:eastAsia="x-none"/>
        </w:rPr>
        <w:t>ЯХ</w:t>
      </w:r>
    </w:p>
    <w:p w:rsidR="00172228" w:rsidRPr="006C0862" w:rsidRDefault="00172228" w:rsidP="00EE50C9">
      <w:pPr>
        <w:jc w:val="center"/>
        <w:rPr>
          <w:sz w:val="28"/>
          <w:szCs w:val="28"/>
          <w:lang w:eastAsia="x-none"/>
        </w:rPr>
      </w:pPr>
    </w:p>
    <w:p w:rsidR="00735AF9" w:rsidRPr="006C0862" w:rsidRDefault="00735AF9" w:rsidP="00EE50C9">
      <w:pPr>
        <w:jc w:val="center"/>
        <w:rPr>
          <w:sz w:val="28"/>
          <w:szCs w:val="28"/>
          <w:lang w:eastAsia="x-none"/>
        </w:rPr>
      </w:pPr>
    </w:p>
    <w:p w:rsidR="00602B18" w:rsidRPr="006C0862" w:rsidRDefault="00172228" w:rsidP="008A51D9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ОТКРЫТЫЕ МАРКЕТИНГОВЫЕ ИССЛЕДОВАНИЯ</w:t>
      </w:r>
    </w:p>
    <w:p w:rsidR="00737089" w:rsidRPr="006C0862" w:rsidRDefault="005B73B6" w:rsidP="005F2067">
      <w:pPr>
        <w:jc w:val="center"/>
        <w:rPr>
          <w:sz w:val="30"/>
          <w:szCs w:val="30"/>
          <w:lang w:eastAsia="x-none"/>
        </w:rPr>
      </w:pPr>
      <w:r w:rsidRPr="00B25563">
        <w:rPr>
          <w:sz w:val="30"/>
          <w:szCs w:val="30"/>
          <w:lang w:eastAsia="x-none"/>
        </w:rPr>
        <w:t>на поставку</w:t>
      </w:r>
      <w:r>
        <w:rPr>
          <w:sz w:val="30"/>
          <w:szCs w:val="30"/>
          <w:lang w:eastAsia="x-none"/>
        </w:rPr>
        <w:t xml:space="preserve"> </w:t>
      </w:r>
      <w:r w:rsidR="00BF1DFA">
        <w:rPr>
          <w:rFonts w:eastAsia="Calibri"/>
          <w:sz w:val="30"/>
          <w:szCs w:val="30"/>
          <w:lang w:eastAsia="en-US"/>
        </w:rPr>
        <w:t>запасных частей</w:t>
      </w:r>
      <w:r w:rsidR="00DD744E">
        <w:rPr>
          <w:rFonts w:eastAsia="Calibri"/>
          <w:sz w:val="30"/>
          <w:szCs w:val="30"/>
          <w:lang w:eastAsia="en-US"/>
        </w:rPr>
        <w:t xml:space="preserve"> к</w:t>
      </w:r>
      <w:r w:rsidR="00BF1DFA">
        <w:rPr>
          <w:rFonts w:eastAsia="Calibri"/>
          <w:sz w:val="30"/>
          <w:szCs w:val="30"/>
          <w:lang w:eastAsia="en-US"/>
        </w:rPr>
        <w:t xml:space="preserve"> лабораторны</w:t>
      </w:r>
      <w:r w:rsidR="00DD744E">
        <w:rPr>
          <w:rFonts w:eastAsia="Calibri"/>
          <w:sz w:val="30"/>
          <w:szCs w:val="30"/>
          <w:lang w:eastAsia="en-US"/>
        </w:rPr>
        <w:t>м</w:t>
      </w:r>
      <w:r w:rsidR="00BF1DFA">
        <w:rPr>
          <w:rFonts w:eastAsia="Calibri"/>
          <w:sz w:val="30"/>
          <w:szCs w:val="30"/>
          <w:lang w:eastAsia="en-US"/>
        </w:rPr>
        <w:t xml:space="preserve"> хроматограф</w:t>
      </w:r>
      <w:r w:rsidR="00DD744E">
        <w:rPr>
          <w:rFonts w:eastAsia="Calibri"/>
          <w:sz w:val="30"/>
          <w:szCs w:val="30"/>
          <w:lang w:eastAsia="en-US"/>
        </w:rPr>
        <w:t>ам</w:t>
      </w:r>
      <w:r w:rsidRPr="00B25563">
        <w:rPr>
          <w:rFonts w:eastAsia="Calibri"/>
          <w:sz w:val="30"/>
          <w:szCs w:val="30"/>
          <w:lang w:eastAsia="en-US"/>
        </w:rPr>
        <w:t xml:space="preserve"> </w:t>
      </w:r>
      <w:bookmarkStart w:id="0" w:name="_GoBack"/>
      <w:r w:rsidR="00390ED3" w:rsidRPr="00390ED3">
        <w:rPr>
          <w:rFonts w:eastAsia="Calibri"/>
          <w:sz w:val="30"/>
          <w:szCs w:val="30"/>
          <w:lang w:eastAsia="en-US"/>
        </w:rPr>
        <w:t>(</w:t>
      </w:r>
      <w:r w:rsidR="00390ED3">
        <w:rPr>
          <w:rFonts w:eastAsia="Calibri"/>
          <w:sz w:val="30"/>
          <w:szCs w:val="30"/>
          <w:lang w:eastAsia="en-US"/>
        </w:rPr>
        <w:t>Хромос ТХ-1000</w:t>
      </w:r>
      <w:r w:rsidR="00390ED3" w:rsidRPr="00390ED3">
        <w:rPr>
          <w:rFonts w:eastAsia="Calibri"/>
          <w:sz w:val="30"/>
          <w:szCs w:val="30"/>
          <w:lang w:eastAsia="en-US"/>
        </w:rPr>
        <w:t>)</w:t>
      </w:r>
      <w:bookmarkEnd w:id="0"/>
      <w:r w:rsidR="00390ED3" w:rsidRPr="00390ED3">
        <w:rPr>
          <w:rFonts w:eastAsia="Calibri"/>
          <w:sz w:val="30"/>
          <w:szCs w:val="30"/>
          <w:lang w:eastAsia="en-US"/>
        </w:rPr>
        <w:t xml:space="preserve"> </w:t>
      </w:r>
      <w:r w:rsidR="0083458C" w:rsidRPr="006C0862">
        <w:rPr>
          <w:sz w:val="30"/>
          <w:szCs w:val="30"/>
          <w:lang w:eastAsia="x-none"/>
        </w:rPr>
        <w:t>для нужд ОАО «Газпром трансгаз Беларусь» в 202</w:t>
      </w:r>
      <w:r w:rsidR="006C0862">
        <w:rPr>
          <w:sz w:val="30"/>
          <w:szCs w:val="30"/>
          <w:lang w:eastAsia="x-none"/>
        </w:rPr>
        <w:t>2</w:t>
      </w:r>
      <w:r w:rsidR="0083458C" w:rsidRPr="006C0862">
        <w:rPr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5F2067" w:rsidRPr="00DC4188" w:rsidRDefault="005F2067" w:rsidP="005F206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 2</w:t>
      </w:r>
      <w:r w:rsidR="006C0862">
        <w:rPr>
          <w:sz w:val="30"/>
          <w:szCs w:val="30"/>
          <w:lang w:eastAsia="x-none"/>
        </w:rPr>
        <w:t>2</w:t>
      </w:r>
      <w:r>
        <w:rPr>
          <w:sz w:val="30"/>
          <w:szCs w:val="30"/>
          <w:lang w:eastAsia="x-none"/>
        </w:rPr>
        <w:t>_ГТБеларусь-4.</w:t>
      </w:r>
      <w:r w:rsidR="00420076">
        <w:rPr>
          <w:sz w:val="30"/>
          <w:szCs w:val="30"/>
          <w:lang w:eastAsia="x-none"/>
        </w:rPr>
        <w:t>5</w:t>
      </w:r>
      <w:r>
        <w:rPr>
          <w:sz w:val="30"/>
          <w:szCs w:val="30"/>
          <w:lang w:eastAsia="x-none"/>
        </w:rPr>
        <w:t>-1213/16-</w:t>
      </w:r>
      <w:r w:rsidR="00BF1DFA">
        <w:rPr>
          <w:sz w:val="30"/>
          <w:szCs w:val="30"/>
          <w:lang w:eastAsia="x-none"/>
        </w:rPr>
        <w:t>2</w:t>
      </w:r>
      <w:r w:rsidR="00DD744E">
        <w:rPr>
          <w:sz w:val="30"/>
          <w:szCs w:val="30"/>
          <w:lang w:eastAsia="x-none"/>
        </w:rPr>
        <w:t>4</w:t>
      </w:r>
      <w:r>
        <w:rPr>
          <w:sz w:val="30"/>
          <w:szCs w:val="30"/>
          <w:lang w:eastAsia="x-none"/>
        </w:rPr>
        <w:t xml:space="preserve"> (№ </w:t>
      </w:r>
      <w:r w:rsidRPr="007F28CD">
        <w:rPr>
          <w:sz w:val="30"/>
          <w:szCs w:val="30"/>
          <w:lang w:eastAsia="x-none"/>
        </w:rPr>
        <w:t>1000</w:t>
      </w:r>
      <w:r w:rsidR="006C0862">
        <w:rPr>
          <w:sz w:val="30"/>
          <w:szCs w:val="30"/>
          <w:lang w:eastAsia="x-none"/>
        </w:rPr>
        <w:t>9</w:t>
      </w:r>
      <w:r w:rsidR="00BF1DFA">
        <w:rPr>
          <w:sz w:val="30"/>
          <w:szCs w:val="30"/>
          <w:lang w:eastAsia="x-none"/>
        </w:rPr>
        <w:t>751</w:t>
      </w:r>
      <w:r w:rsidR="00DD744E">
        <w:rPr>
          <w:sz w:val="30"/>
          <w:szCs w:val="30"/>
          <w:lang w:eastAsia="x-none"/>
        </w:rPr>
        <w:t>20</w:t>
      </w:r>
      <w:r w:rsidRPr="00A56F4E">
        <w:rPr>
          <w:sz w:val="30"/>
          <w:szCs w:val="30"/>
          <w:lang w:eastAsia="x-none"/>
        </w:rPr>
        <w:t>)</w:t>
      </w:r>
    </w:p>
    <w:p w:rsidR="005F2067" w:rsidRPr="00602B18" w:rsidRDefault="005F2067" w:rsidP="005F2067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Pr="007F28CD">
        <w:rPr>
          <w:sz w:val="30"/>
          <w:szCs w:val="30"/>
          <w:lang w:eastAsia="x-none"/>
        </w:rPr>
        <w:t>2</w:t>
      </w:r>
      <w:r w:rsidR="00195650">
        <w:rPr>
          <w:sz w:val="30"/>
          <w:szCs w:val="30"/>
          <w:lang w:eastAsia="x-none"/>
        </w:rPr>
        <w:t>2</w:t>
      </w:r>
      <w:r w:rsidRPr="007F28CD">
        <w:rPr>
          <w:sz w:val="30"/>
          <w:szCs w:val="30"/>
          <w:lang w:eastAsia="x-none"/>
        </w:rPr>
        <w:t>/4.</w:t>
      </w:r>
      <w:r w:rsidR="009720A2">
        <w:rPr>
          <w:sz w:val="30"/>
          <w:szCs w:val="30"/>
          <w:lang w:eastAsia="x-none"/>
        </w:rPr>
        <w:t>3</w:t>
      </w:r>
      <w:r w:rsidRPr="007F28CD">
        <w:rPr>
          <w:sz w:val="30"/>
          <w:szCs w:val="30"/>
          <w:lang w:eastAsia="x-none"/>
        </w:rPr>
        <w:t>/00</w:t>
      </w:r>
      <w:r w:rsidR="00BF1DFA">
        <w:rPr>
          <w:sz w:val="30"/>
          <w:szCs w:val="30"/>
          <w:lang w:eastAsia="x-none"/>
        </w:rPr>
        <w:t>1427</w:t>
      </w:r>
      <w:r w:rsidR="00DD744E">
        <w:rPr>
          <w:sz w:val="30"/>
          <w:szCs w:val="30"/>
          <w:lang w:eastAsia="x-none"/>
        </w:rPr>
        <w:t>7</w:t>
      </w:r>
      <w:r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420076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5227C" w:rsidRPr="0095227C">
        <w:rPr>
          <w:sz w:val="20"/>
        </w:rPr>
        <w:t xml:space="preserve">Письмо </w:t>
      </w:r>
      <w:r w:rsidR="0095227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Pr="004B4BDB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Default="00B26D0E" w:rsidP="00FE3323">
      <w:pPr>
        <w:jc w:val="both"/>
        <w:rPr>
          <w:b/>
          <w:bCs/>
        </w:rPr>
      </w:pPr>
    </w:p>
    <w:p w:rsidR="00B26D0E" w:rsidRPr="0033055C" w:rsidRDefault="00B26D0E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21E" w:rsidRDefault="0005321E">
      <w:r>
        <w:separator/>
      </w:r>
    </w:p>
  </w:endnote>
  <w:endnote w:type="continuationSeparator" w:id="0">
    <w:p w:rsidR="0005321E" w:rsidRDefault="0005321E">
      <w:r>
        <w:continuationSeparator/>
      </w:r>
    </w:p>
  </w:endnote>
  <w:endnote w:type="continuationNotice" w:id="1">
    <w:p w:rsidR="0005321E" w:rsidRDefault="00053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B73B6" w:rsidRDefault="005B73B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8468B1" w:rsidRDefault="005B73B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390ED3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757D07" w:rsidRDefault="005B73B6" w:rsidP="00757D07">
    <w:pPr>
      <w:pStyle w:val="ac"/>
    </w:pPr>
  </w:p>
  <w:p w:rsidR="005B73B6" w:rsidRDefault="005B73B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B73B6" w:rsidRDefault="005B73B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21E" w:rsidRDefault="0005321E">
      <w:r>
        <w:separator/>
      </w:r>
    </w:p>
  </w:footnote>
  <w:footnote w:type="continuationSeparator" w:id="0">
    <w:p w:rsidR="0005321E" w:rsidRDefault="0005321E">
      <w:r>
        <w:continuationSeparator/>
      </w:r>
    </w:p>
  </w:footnote>
  <w:footnote w:type="continuationNotice" w:id="1">
    <w:p w:rsidR="0005321E" w:rsidRDefault="0005321E"/>
  </w:footnote>
  <w:footnote w:id="2">
    <w:p w:rsidR="005B73B6" w:rsidRPr="009F3D9F" w:rsidRDefault="005B73B6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5B73B6" w:rsidRPr="009F3D9F" w:rsidRDefault="005B73B6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5B73B6" w:rsidRPr="009F3D9F" w:rsidRDefault="005B73B6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5B73B6" w:rsidRDefault="005B73B6">
      <w:pPr>
        <w:pStyle w:val="a3"/>
      </w:pPr>
    </w:p>
  </w:footnote>
  <w:footnote w:id="5">
    <w:p w:rsidR="005B73B6" w:rsidRPr="000A6AAF" w:rsidRDefault="005B73B6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объявлении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В таком случае участник, заявка которого признана наилучшей, обязан заключить с договор с соблюдением требований, предусмотренных Условиями банковского сопровождения (приложение к проекту договору, входящему в состав Документации).  </w:t>
      </w:r>
    </w:p>
    <w:p w:rsidR="005B73B6" w:rsidRDefault="005B73B6">
      <w:pPr>
        <w:pStyle w:val="a3"/>
      </w:pPr>
    </w:p>
  </w:footnote>
  <w:footnote w:id="6">
    <w:p w:rsidR="005B73B6" w:rsidRPr="009F3D9F" w:rsidRDefault="005B73B6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5B73B6" w:rsidRPr="009F3D9F" w:rsidRDefault="005B73B6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5B73B6" w:rsidRPr="00F41DB2" w:rsidRDefault="005B73B6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5B73B6" w:rsidRPr="00F41DB2" w:rsidRDefault="005B73B6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5B73B6" w:rsidRPr="0017136C" w:rsidRDefault="005B73B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B73B6" w:rsidRPr="00E276AD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5B73B6" w:rsidRPr="00F41DB2" w:rsidRDefault="005B73B6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5B73B6" w:rsidRPr="00F41DB2" w:rsidRDefault="005B73B6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B73B6" w:rsidRPr="00711D68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Default="005B73B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5F206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</w:t>
    </w:r>
    <w:r w:rsidR="00BF1DFA">
      <w:rPr>
        <w:i/>
      </w:rPr>
      <w:t>2</w:t>
    </w:r>
    <w:r w:rsidR="00DD744E">
      <w:rPr>
        <w:i/>
      </w:rPr>
      <w:t>4</w:t>
    </w:r>
  </w:p>
  <w:p w:rsidR="005B73B6" w:rsidRDefault="005B73B6" w:rsidP="005F206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</w:t>
    </w:r>
    <w:r w:rsidR="00BF1DFA">
      <w:rPr>
        <w:i/>
      </w:rPr>
      <w:t>751</w:t>
    </w:r>
    <w:r w:rsidR="00DD744E">
      <w:rPr>
        <w:i/>
      </w:rPr>
      <w:t>20</w:t>
    </w:r>
    <w:r w:rsidRPr="003442D3">
      <w:rPr>
        <w:i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44E" w:rsidRDefault="00DD744E" w:rsidP="00DD744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22_ГТБеларусь-4.5-1213/16-24</w:t>
    </w:r>
  </w:p>
  <w:p w:rsidR="00DD744E" w:rsidRDefault="00DD744E" w:rsidP="00DD744E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975120</w:t>
    </w:r>
    <w:r w:rsidRPr="003442D3">
      <w:rPr>
        <w:i/>
      </w:rPr>
      <w:t>)</w:t>
    </w:r>
  </w:p>
  <w:p w:rsidR="005B73B6" w:rsidRPr="0083458C" w:rsidRDefault="005B73B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44E" w:rsidRDefault="00DD744E" w:rsidP="00DD744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22_ГТБеларусь-4.5-1213/16-24</w:t>
    </w:r>
  </w:p>
  <w:p w:rsidR="00DD744E" w:rsidRDefault="00DD744E" w:rsidP="00DD744E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975120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Pr="00CF5E92" w:rsidRDefault="005B73B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44E" w:rsidRDefault="00DD744E" w:rsidP="00DD744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22_ГТБеларусь-4.5-1213/16-24</w:t>
    </w:r>
  </w:p>
  <w:p w:rsidR="00DD744E" w:rsidRDefault="00DD744E" w:rsidP="00DD744E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975120</w:t>
    </w:r>
    <w:r w:rsidRPr="003442D3">
      <w:rPr>
        <w:i/>
      </w:rPr>
      <w:t>)</w:t>
    </w:r>
  </w:p>
  <w:p w:rsidR="005B73B6" w:rsidRPr="002F5726" w:rsidRDefault="005B73B6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44E" w:rsidRDefault="00DD744E" w:rsidP="00DD744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22_ГТБеларусь-4.5-1213/16-24</w:t>
    </w:r>
  </w:p>
  <w:p w:rsidR="00DD744E" w:rsidRDefault="00DD744E" w:rsidP="00DD744E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975120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73B6" w:rsidRDefault="005B73B6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44E" w:rsidRDefault="00DD744E" w:rsidP="00DD744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22_ГТБеларусь-4.5-1213/16-24</w:t>
    </w:r>
  </w:p>
  <w:p w:rsidR="00DD744E" w:rsidRDefault="00DD744E" w:rsidP="00DD744E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975120</w:t>
    </w:r>
    <w:r w:rsidRPr="003442D3">
      <w:rPr>
        <w:i/>
      </w:rPr>
      <w:t>)</w:t>
    </w:r>
  </w:p>
  <w:p w:rsidR="005B73B6" w:rsidRPr="003540B2" w:rsidRDefault="005B73B6" w:rsidP="003540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1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1E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EAC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B85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DF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1947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650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4D14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0B2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0ED3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10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688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076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CFA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3B6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067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3B0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77A93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862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B3D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27C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0A2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A54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095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FF2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6D0E"/>
    <w:rsid w:val="00B270E9"/>
    <w:rsid w:val="00B27DBA"/>
    <w:rsid w:val="00B301B7"/>
    <w:rsid w:val="00B30B8B"/>
    <w:rsid w:val="00B30C41"/>
    <w:rsid w:val="00B31254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F4A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1DF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692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44E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442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D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CED5DC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C464-620C-4E64-8E78-118500A46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F9933-A2F2-4873-B86C-8F7EF9AF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26</Pages>
  <Words>9300</Words>
  <Characters>53010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62186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33</cp:revision>
  <cp:lastPrinted>2021-04-13T13:15:00Z</cp:lastPrinted>
  <dcterms:created xsi:type="dcterms:W3CDTF">2021-07-01T11:49:00Z</dcterms:created>
  <dcterms:modified xsi:type="dcterms:W3CDTF">2022-02-24T05:53:00Z</dcterms:modified>
</cp:coreProperties>
</file>