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6E2886" w:rsidRPr="0047179F" w:rsidRDefault="00B336DE" w:rsidP="006E2886">
      <w:pPr>
        <w:jc w:val="right"/>
        <w:rPr>
          <w:sz w:val="22"/>
          <w:szCs w:val="22"/>
        </w:rPr>
      </w:pPr>
      <w:r w:rsidRPr="0024781C">
        <w:t xml:space="preserve">Документация о </w:t>
      </w:r>
      <w:r w:rsidRPr="006E2886">
        <w:rPr>
          <w:sz w:val="22"/>
          <w:szCs w:val="22"/>
        </w:rPr>
        <w:t>маркетинговых исследованиях</w:t>
      </w:r>
      <w:r w:rsidRPr="006E2886">
        <w:rPr>
          <w:i/>
          <w:sz w:val="22"/>
          <w:szCs w:val="22"/>
        </w:rPr>
        <w:t xml:space="preserve"> </w:t>
      </w:r>
      <w:r w:rsidR="0024781C" w:rsidRPr="006E2886">
        <w:rPr>
          <w:rFonts w:asciiTheme="majorBidi" w:eastAsiaTheme="minorEastAsia" w:hAnsiTheme="majorBidi" w:cstheme="majorBidi"/>
          <w:iCs/>
          <w:color w:val="000000" w:themeColor="text1"/>
          <w:sz w:val="22"/>
          <w:szCs w:val="22"/>
        </w:rPr>
        <w:t xml:space="preserve">№ </w:t>
      </w:r>
      <w:r w:rsidR="00DA71EE">
        <w:rPr>
          <w:color w:val="000000"/>
          <w:sz w:val="22"/>
          <w:szCs w:val="22"/>
        </w:rPr>
        <w:t>23_ГТБеларусь-4.3-1213/16-58</w:t>
      </w:r>
      <w:r w:rsidR="006E2886" w:rsidRPr="006E2886">
        <w:rPr>
          <w:color w:val="000000"/>
          <w:sz w:val="22"/>
          <w:szCs w:val="22"/>
        </w:rPr>
        <w:t xml:space="preserve"> (ППЗ </w:t>
      </w:r>
      <w:r w:rsidR="006E2886" w:rsidRPr="006E2886">
        <w:rPr>
          <w:sz w:val="22"/>
          <w:szCs w:val="22"/>
        </w:rPr>
        <w:t>10013</w:t>
      </w:r>
      <w:r w:rsidR="00DA71EE">
        <w:rPr>
          <w:sz w:val="22"/>
          <w:szCs w:val="22"/>
        </w:rPr>
        <w:t>20579</w:t>
      </w:r>
      <w:bookmarkStart w:id="0" w:name="_GoBack"/>
      <w:bookmarkEnd w:id="0"/>
      <w:r w:rsidR="006E2886" w:rsidRPr="006E2886">
        <w:rPr>
          <w:color w:val="000000"/>
          <w:sz w:val="22"/>
          <w:szCs w:val="22"/>
        </w:rPr>
        <w:t>)</w:t>
      </w:r>
    </w:p>
    <w:p w:rsidR="00B26015" w:rsidRDefault="00B26015" w:rsidP="00085832">
      <w:pPr>
        <w:spacing w:after="0" w:line="240" w:lineRule="auto"/>
        <w:jc w:val="center"/>
      </w:pPr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4A0BD2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4A0BD2">
        <w:rPr>
          <w:color w:val="000000"/>
          <w:sz w:val="26"/>
          <w:szCs w:val="26"/>
        </w:rPr>
        <w:t>3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4A0BD2">
        <w:t>3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</w:t>
      </w:r>
      <w:r w:rsidR="004A0BD2">
        <w:t>3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val="en-US"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29" w:rsidRDefault="00151429">
      <w:pPr>
        <w:spacing w:after="0" w:line="240" w:lineRule="auto"/>
      </w:pPr>
      <w:r>
        <w:separator/>
      </w:r>
    </w:p>
  </w:endnote>
  <w:endnote w:type="continuationSeparator" w:id="0">
    <w:p w:rsidR="00151429" w:rsidRDefault="0015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29" w:rsidRDefault="00151429">
      <w:pPr>
        <w:spacing w:after="0" w:line="240" w:lineRule="auto"/>
      </w:pPr>
      <w:r>
        <w:separator/>
      </w:r>
    </w:p>
  </w:footnote>
  <w:footnote w:type="continuationSeparator" w:id="0">
    <w:p w:rsidR="00151429" w:rsidRDefault="00151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1429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3F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2242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0C27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0B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2886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69F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22EE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06DFC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8752A"/>
    <w:rsid w:val="00D92B42"/>
    <w:rsid w:val="00D93197"/>
    <w:rsid w:val="00DA10E1"/>
    <w:rsid w:val="00DA2061"/>
    <w:rsid w:val="00DA4834"/>
    <w:rsid w:val="00DA5E0F"/>
    <w:rsid w:val="00DA6821"/>
    <w:rsid w:val="00DA71EE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057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5A30FC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506E48-7C74-444A-826C-27FDA9D3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129</cp:revision>
  <cp:lastPrinted>2020-08-26T11:08:00Z</cp:lastPrinted>
  <dcterms:created xsi:type="dcterms:W3CDTF">2018-06-11T10:21:00Z</dcterms:created>
  <dcterms:modified xsi:type="dcterms:W3CDTF">2023-11-11T05:54:00Z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