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proofErr w:type="spellStart"/>
      <w:r w:rsidR="009D7640" w:rsidRPr="00BD0F4E">
        <w:rPr>
          <w:sz w:val="28"/>
          <w:szCs w:val="28"/>
        </w:rPr>
        <w:t>Д.В.Марченков</w:t>
      </w:r>
      <w:proofErr w:type="spellEnd"/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210E6C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1B398B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предметов офисной обстановки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для нужд</w:t>
      </w:r>
      <w:r w:rsidR="00251EF1">
        <w:rPr>
          <w:b/>
          <w:sz w:val="30"/>
          <w:szCs w:val="30"/>
          <w:lang w:eastAsia="x-none"/>
        </w:rPr>
        <w:t xml:space="preserve"> </w:t>
      </w:r>
      <w:r w:rsidRPr="00BD0F4E">
        <w:rPr>
          <w:b/>
          <w:sz w:val="30"/>
          <w:szCs w:val="30"/>
          <w:lang w:eastAsia="x-none"/>
        </w:rPr>
        <w:t xml:space="preserve">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210E6C">
        <w:rPr>
          <w:sz w:val="30"/>
          <w:szCs w:val="30"/>
          <w:lang w:eastAsia="x-none"/>
        </w:rPr>
        <w:t>0</w:t>
      </w:r>
      <w:r w:rsidR="003F4893">
        <w:rPr>
          <w:sz w:val="30"/>
          <w:szCs w:val="30"/>
          <w:lang w:eastAsia="x-none"/>
        </w:rPr>
        <w:t>0</w:t>
      </w:r>
      <w:r w:rsidR="001B398B">
        <w:rPr>
          <w:sz w:val="30"/>
          <w:szCs w:val="30"/>
          <w:lang w:eastAsia="x-none"/>
        </w:rPr>
        <w:t>1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3F4893">
        <w:rPr>
          <w:sz w:val="30"/>
          <w:szCs w:val="30"/>
          <w:lang w:eastAsia="x-none"/>
        </w:rPr>
        <w:t>7</w:t>
      </w:r>
      <w:r w:rsidR="001B398B">
        <w:rPr>
          <w:sz w:val="30"/>
          <w:szCs w:val="30"/>
          <w:lang w:eastAsia="x-none"/>
        </w:rPr>
        <w:t>3988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3F4893">
        <w:rPr>
          <w:sz w:val="30"/>
          <w:szCs w:val="30"/>
          <w:lang w:eastAsia="x-none"/>
        </w:rPr>
        <w:t>1</w:t>
      </w:r>
      <w:r w:rsidR="001B398B">
        <w:rPr>
          <w:sz w:val="30"/>
          <w:szCs w:val="30"/>
          <w:lang w:eastAsia="x-none"/>
        </w:rPr>
        <w:t>2033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210E6C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555BC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CB6205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D0F4E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1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2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D0F4E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BD0F4E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BD0F4E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49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</w:t>
      </w:r>
      <w:proofErr w:type="gramStart"/>
      <w:r w:rsidR="000A20D1" w:rsidRPr="00BD0F4E">
        <w:rPr>
          <w:rFonts w:ascii="Times New Roman" w:hAnsi="Times New Roman"/>
          <w:sz w:val="20"/>
          <w:szCs w:val="20"/>
        </w:rPr>
        <w:t>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BD0F4E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BD0F4E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BD0F4E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8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D0F4E">
        <w:rPr>
          <w:i/>
          <w:sz w:val="16"/>
          <w:szCs w:val="16"/>
        </w:rPr>
        <w:t xml:space="preserve">   (</w:t>
      </w:r>
      <w:proofErr w:type="gramEnd"/>
      <w:r w:rsidR="001F42BF" w:rsidRPr="00BD0F4E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1"/>
      <w:r w:rsidRPr="00BD0F4E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BD0F4E">
        <w:rPr>
          <w:b/>
          <w:sz w:val="20"/>
          <w:szCs w:val="20"/>
          <w:lang w:val="ru-RU"/>
        </w:rPr>
        <w:t>ок</w:t>
      </w:r>
      <w:bookmarkEnd w:id="97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99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0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1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proofErr w:type="spellStart"/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proofErr w:type="spellEnd"/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1"/>
      <w:r w:rsidR="001D6A5D" w:rsidRPr="00BD0F4E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CB6205" w:rsidRPr="00CB6205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8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3" w:name="_Ref349221129"/>
      <w:r w:rsidRPr="00BD0F4E">
        <w:rPr>
          <w:sz w:val="20"/>
        </w:rPr>
        <w:t xml:space="preserve">Предельная </w:t>
      </w:r>
      <w:bookmarkEnd w:id="143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4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</w:t>
      </w:r>
      <w:proofErr w:type="gramStart"/>
      <w:r w:rsidR="000738DD" w:rsidRPr="00BD0F4E">
        <w:rPr>
          <w:sz w:val="20"/>
        </w:rPr>
        <w:t>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</w:t>
      </w:r>
      <w:proofErr w:type="gramEnd"/>
      <w:r w:rsidR="000738DD" w:rsidRPr="00BD0F4E">
        <w:rPr>
          <w:sz w:val="20"/>
        </w:rPr>
        <w:t>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BD0F4E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D0F4E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4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BD0F4E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7"/>
      <w:bookmarkEnd w:id="228"/>
      <w:bookmarkEnd w:id="229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r w:rsidRPr="00BD0F4E">
        <w:rPr>
          <w:sz w:val="20"/>
        </w:rPr>
        <w:t xml:space="preserve">Заявление (информация) о включении либо </w:t>
      </w:r>
      <w:proofErr w:type="spellStart"/>
      <w:r w:rsidRPr="00BD0F4E">
        <w:rPr>
          <w:sz w:val="20"/>
        </w:rPr>
        <w:t>невключении</w:t>
      </w:r>
      <w:proofErr w:type="spellEnd"/>
      <w:r w:rsidRPr="00BD0F4E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BD0F4E">
        <w:rPr>
          <w:sz w:val="20"/>
        </w:rPr>
        <w:t>продук-ции</w:t>
      </w:r>
      <w:proofErr w:type="spellEnd"/>
      <w:proofErr w:type="gramEnd"/>
      <w:r w:rsidRPr="00BD0F4E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BD0F4E">
        <w:rPr>
          <w:sz w:val="20"/>
        </w:rPr>
        <w:t>удовлетво-ряющих</w:t>
      </w:r>
      <w:proofErr w:type="spellEnd"/>
      <w:proofErr w:type="gramEnd"/>
      <w:r w:rsidRPr="00BD0F4E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BD0F4E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BD0F4E" w:rsidRDefault="00555BC8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2869464"/>
      <w:bookmarkEnd w:id="281"/>
      <w:bookmarkEnd w:id="282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1" w:name="_Ref523413763"/>
      <w:bookmarkEnd w:id="290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7" w:name="_Toc52869465"/>
      <w:r w:rsidRPr="00BD0F4E">
        <w:rPr>
          <w:sz w:val="20"/>
        </w:rPr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6B5059" w:rsidRPr="00BD0F4E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BD0F4E">
        <w:rPr>
          <w:sz w:val="24"/>
          <w:szCs w:val="24"/>
        </w:rPr>
        <w:t>исследованиях  на</w:t>
      </w:r>
      <w:proofErr w:type="gramEnd"/>
      <w:r w:rsidRPr="00BD0F4E">
        <w:rPr>
          <w:sz w:val="24"/>
          <w:szCs w:val="24"/>
        </w:rPr>
        <w:t xml:space="preserve">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 xml:space="preserve">до </w:t>
      </w:r>
      <w:proofErr w:type="gramStart"/>
      <w:r w:rsidRPr="00BD0F4E">
        <w:rPr>
          <w:sz w:val="24"/>
          <w:szCs w:val="24"/>
          <w:u w:val="single"/>
        </w:rPr>
        <w:t xml:space="preserve">«  </w:t>
      </w:r>
      <w:proofErr w:type="gramEnd"/>
      <w:r w:rsidRPr="00BD0F4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Согласие на обработку и передачу своих персональных данных             </w:t>
            </w:r>
            <w:proofErr w:type="gramStart"/>
            <w:r w:rsidRPr="00BD0F4E">
              <w:t xml:space="preserve">   (</w:t>
            </w:r>
            <w:proofErr w:type="gramEnd"/>
            <w:r w:rsidR="00555BC8">
              <w:rPr>
                <w:rStyle w:val="af"/>
              </w:rPr>
              <w:fldChar w:fldCharType="begin"/>
            </w:r>
            <w:r w:rsidR="00555BC8">
              <w:rPr>
                <w:rStyle w:val="af"/>
              </w:rPr>
              <w:instrText xml:space="preserve"> HYPERLINK \l "ф2СоглОбр" </w:instrText>
            </w:r>
            <w:r w:rsidR="00555BC8">
              <w:rPr>
                <w:rStyle w:val="af"/>
              </w:rPr>
              <w:fldChar w:fldCharType="separate"/>
            </w:r>
            <w:r w:rsidRPr="00BD0F4E">
              <w:rPr>
                <w:rStyle w:val="af"/>
              </w:rPr>
              <w:t>Форма 2.2</w:t>
            </w:r>
            <w:r w:rsidR="00555BC8">
              <w:rPr>
                <w:rStyle w:val="af"/>
              </w:rPr>
              <w:fldChar w:fldCharType="end"/>
            </w:r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19"/>
            <w:bookmarkEnd w:id="320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BD0F4E">
              <w:t>Документы, подтверждающие правоспособность участник</w:t>
            </w:r>
            <w:bookmarkEnd w:id="321"/>
            <w:bookmarkEnd w:id="322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2869467"/>
      <w:bookmarkStart w:id="328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7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</w:t>
      </w:r>
      <w:proofErr w:type="gramStart"/>
      <w:r w:rsidR="00025565" w:rsidRPr="00BD0F4E">
        <w:t xml:space="preserve">в </w:t>
      </w:r>
      <w:r w:rsidR="00C851D8" w:rsidRPr="00BD0F4E">
        <w:t xml:space="preserve"> процедуре</w:t>
      </w:r>
      <w:proofErr w:type="gramEnd"/>
      <w:r w:rsidR="00C851D8" w:rsidRPr="00BD0F4E">
        <w:t xml:space="preserve">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D0F4E">
              <w:rPr>
                <w:b/>
                <w:sz w:val="18"/>
                <w:szCs w:val="18"/>
              </w:rPr>
              <w:t>НДС)</w:t>
            </w:r>
            <w:r w:rsidRPr="00BD0F4E">
              <w:rPr>
                <w:b/>
                <w:sz w:val="24"/>
                <w:szCs w:val="18"/>
              </w:rPr>
              <w:t>*</w:t>
            </w:r>
            <w:proofErr w:type="gramEnd"/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</w:t>
      </w:r>
      <w:proofErr w:type="gramStart"/>
      <w:r w:rsidRPr="00BD0F4E">
        <w:t>В</w:t>
      </w:r>
      <w:proofErr w:type="gramEnd"/>
      <w:r w:rsidRPr="00BD0F4E">
        <w:t xml:space="preserve">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</w:t>
      </w:r>
      <w:proofErr w:type="gramStart"/>
      <w:r w:rsidRPr="00BD0F4E">
        <w:t>*  В</w:t>
      </w:r>
      <w:proofErr w:type="gramEnd"/>
      <w:r w:rsidRPr="00BD0F4E">
        <w:t xml:space="preserve">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 xml:space="preserve">Код ТН </w:t>
      </w:r>
      <w:proofErr w:type="gramStart"/>
      <w:r w:rsidRPr="00BD0F4E">
        <w:rPr>
          <w:b/>
        </w:rPr>
        <w:t>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</w:t>
      </w:r>
      <w:proofErr w:type="gramStart"/>
      <w:r w:rsidRPr="00BD0F4E">
        <w:rPr>
          <w:b/>
        </w:rPr>
        <w:t>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BD0F4E">
        <w:rPr>
          <w:sz w:val="20"/>
          <w:lang w:val="ru-RU"/>
        </w:rPr>
        <w:t>в  процедуре</w:t>
      </w:r>
      <w:proofErr w:type="gramEnd"/>
      <w:r w:rsidR="00531C63" w:rsidRPr="00BD0F4E">
        <w:rPr>
          <w:sz w:val="20"/>
          <w:lang w:val="ru-RU"/>
        </w:rPr>
        <w:t xml:space="preserve">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proofErr w:type="gramStart"/>
      <w:r w:rsidRPr="00BD0F4E">
        <w:rPr>
          <w:spacing w:val="-3"/>
        </w:rPr>
        <w:t>» .</w:t>
      </w:r>
      <w:proofErr w:type="gramEnd"/>
      <w:r w:rsidRPr="00BD0F4E">
        <w:rPr>
          <w:spacing w:val="-3"/>
        </w:rPr>
        <w:t xml:space="preserve">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9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7"/>
      <w:bookmarkEnd w:id="348"/>
      <w:bookmarkEnd w:id="349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D0F4E">
              <w:rPr>
                <w:sz w:val="18"/>
                <w:szCs w:val="18"/>
              </w:rPr>
              <w:t>форму</w:t>
            </w:r>
            <w:proofErr w:type="gramEnd"/>
            <w:r w:rsidRPr="00BD0F4E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Тел. </w:t>
            </w:r>
            <w:proofErr w:type="gramStart"/>
            <w:r w:rsidRPr="00BD0F4E">
              <w:rPr>
                <w:sz w:val="18"/>
                <w:szCs w:val="18"/>
              </w:rPr>
              <w:t>Банка:_</w:t>
            </w:r>
            <w:proofErr w:type="gramEnd"/>
            <w:r w:rsidRPr="00BD0F4E">
              <w:rPr>
                <w:sz w:val="18"/>
                <w:szCs w:val="18"/>
              </w:rPr>
              <w:t>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D0F4E">
              <w:rPr>
                <w:sz w:val="18"/>
                <w:szCs w:val="18"/>
              </w:rPr>
              <w:t>лицо:_</w:t>
            </w:r>
            <w:proofErr w:type="gramEnd"/>
            <w:r w:rsidRPr="00BD0F4E">
              <w:rPr>
                <w:sz w:val="18"/>
                <w:szCs w:val="18"/>
              </w:rPr>
              <w:t>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</w:t>
      </w:r>
      <w:proofErr w:type="spellStart"/>
      <w:r w:rsidRPr="00BD0F4E">
        <w:t>м.п</w:t>
      </w:r>
      <w:proofErr w:type="spellEnd"/>
      <w:r w:rsidRPr="00BD0F4E">
        <w:t>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2869470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4"/>
      <w:bookmarkEnd w:id="355"/>
      <w:bookmarkEnd w:id="356"/>
      <w:bookmarkEnd w:id="357"/>
      <w:bookmarkEnd w:id="358"/>
    </w:p>
    <w:p w:rsidR="00720C8B" w:rsidRPr="00BD0F4E" w:rsidRDefault="00720C8B" w:rsidP="00720C8B">
      <w:r w:rsidRPr="00BD0F4E">
        <w:t>(в том числе конечных)</w:t>
      </w:r>
    </w:p>
    <w:bookmarkEnd w:id="359"/>
    <w:bookmarkEnd w:id="360"/>
    <w:bookmarkEnd w:id="361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2869471"/>
      <w:bookmarkStart w:id="370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BD0F4E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BD0F4E">
        <w:t>г.Минск</w:t>
      </w:r>
      <w:proofErr w:type="spellEnd"/>
      <w:r w:rsidRPr="00BD0F4E">
        <w:t xml:space="preserve">, </w:t>
      </w:r>
      <w:proofErr w:type="spellStart"/>
      <w:r w:rsidRPr="00BD0F4E">
        <w:t>ул.Некрасова</w:t>
      </w:r>
      <w:proofErr w:type="spellEnd"/>
      <w:r w:rsidRPr="00BD0F4E">
        <w:t xml:space="preserve">, </w:t>
      </w:r>
      <w:proofErr w:type="gramStart"/>
      <w:r w:rsidRPr="00BD0F4E">
        <w:t xml:space="preserve">9,   </w:t>
      </w:r>
      <w:proofErr w:type="gramEnd"/>
      <w:r w:rsidRPr="00BD0F4E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1" w:name="_Toc444769624"/>
      <w:bookmarkStart w:id="372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1"/>
      <w:bookmarkEnd w:id="372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2869472"/>
      <w:bookmarkStart w:id="381" w:name="_Toc271441832"/>
      <w:bookmarkStart w:id="382" w:name="_Toc294543724"/>
      <w:bookmarkEnd w:id="362"/>
      <w:bookmarkEnd w:id="363"/>
      <w:bookmarkEnd w:id="364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3" w:name="_Toc269988416"/>
      <w:bookmarkStart w:id="384" w:name="_Toc325376238"/>
      <w:bookmarkStart w:id="385" w:name="_Ref339357996"/>
      <w:bookmarkStart w:id="386" w:name="_Ref349380496"/>
      <w:bookmarkStart w:id="387" w:name="_Toc453152089"/>
      <w:bookmarkStart w:id="388" w:name="_Toc453166641"/>
      <w:bookmarkStart w:id="389" w:name="_Toc453074249"/>
      <w:bookmarkStart w:id="390" w:name="_Toc476580311"/>
      <w:bookmarkStart w:id="391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2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8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3"/>
      <w:bookmarkEnd w:id="394"/>
      <w:bookmarkEnd w:id="395"/>
      <w:bookmarkEnd w:id="396"/>
      <w:r w:rsidRPr="00BD0F4E">
        <w:rPr>
          <w:b/>
          <w:sz w:val="20"/>
          <w:szCs w:val="20"/>
        </w:rPr>
        <w:t xml:space="preserve"> </w:t>
      </w:r>
      <w:bookmarkEnd w:id="397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8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</w:t>
      </w:r>
      <w:proofErr w:type="spellStart"/>
      <w:r w:rsidRPr="00BD0F4E">
        <w:t>м.п</w:t>
      </w:r>
      <w:proofErr w:type="spellEnd"/>
      <w:r w:rsidRPr="00BD0F4E">
        <w:t>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9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0" w:name="_Toc336444508"/>
      <w:bookmarkStart w:id="401" w:name="_Toc336444509"/>
      <w:bookmarkStart w:id="402" w:name="_Toc336444511"/>
      <w:bookmarkStart w:id="403" w:name="_Toc336444513"/>
      <w:bookmarkStart w:id="404" w:name="_Toc336444515"/>
      <w:bookmarkStart w:id="405" w:name="_Toc336444520"/>
      <w:bookmarkStart w:id="406" w:name="_Toc336444521"/>
      <w:bookmarkStart w:id="407" w:name="_Toc336444522"/>
      <w:bookmarkStart w:id="408" w:name="_Toc336444525"/>
      <w:bookmarkStart w:id="409" w:name="_Toc324500026"/>
      <w:bookmarkStart w:id="410" w:name="_Toc324500186"/>
      <w:bookmarkStart w:id="411" w:name="_Toc324503085"/>
      <w:bookmarkStart w:id="412" w:name="_Toc324503224"/>
      <w:bookmarkStart w:id="413" w:name="_Toc324503363"/>
      <w:bookmarkStart w:id="414" w:name="_Toc324500027"/>
      <w:bookmarkStart w:id="415" w:name="_Toc324500187"/>
      <w:bookmarkStart w:id="416" w:name="_Toc324503086"/>
      <w:bookmarkStart w:id="417" w:name="_Toc324503225"/>
      <w:bookmarkStart w:id="418" w:name="_Toc324503364"/>
      <w:bookmarkStart w:id="419" w:name="_Toc324500028"/>
      <w:bookmarkStart w:id="420" w:name="_Toc324500188"/>
      <w:bookmarkStart w:id="421" w:name="_Toc324503087"/>
      <w:bookmarkStart w:id="422" w:name="_Toc324503226"/>
      <w:bookmarkStart w:id="423" w:name="_Toc324503365"/>
      <w:bookmarkStart w:id="424" w:name="_Toc324500029"/>
      <w:bookmarkStart w:id="425" w:name="_Toc324500189"/>
      <w:bookmarkStart w:id="426" w:name="_Toc324503088"/>
      <w:bookmarkStart w:id="427" w:name="_Toc324503227"/>
      <w:bookmarkStart w:id="428" w:name="_Toc324503366"/>
      <w:bookmarkStart w:id="429" w:name="_Toc324500030"/>
      <w:bookmarkStart w:id="430" w:name="_Toc324500190"/>
      <w:bookmarkStart w:id="431" w:name="_Toc324503089"/>
      <w:bookmarkStart w:id="432" w:name="_Toc324503228"/>
      <w:bookmarkStart w:id="433" w:name="_Toc324503367"/>
      <w:bookmarkStart w:id="434" w:name="_Toc324500035"/>
      <w:bookmarkStart w:id="435" w:name="_Toc324500195"/>
      <w:bookmarkStart w:id="436" w:name="_Toc324503094"/>
      <w:bookmarkStart w:id="437" w:name="_Toc324503233"/>
      <w:bookmarkStart w:id="438" w:name="_Toc324503372"/>
      <w:bookmarkStart w:id="439" w:name="_Toc382318233"/>
      <w:bookmarkStart w:id="440" w:name="_Toc382318341"/>
      <w:bookmarkStart w:id="441" w:name="_Toc530666094"/>
      <w:bookmarkStart w:id="442" w:name="_Toc529954376"/>
      <w:bookmarkStart w:id="443" w:name="_Toc279325402"/>
      <w:bookmarkStart w:id="444" w:name="_Toc315089814"/>
      <w:bookmarkStart w:id="445" w:name="_Toc319930669"/>
      <w:bookmarkStart w:id="446" w:name="_Toc32017430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7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39"/>
      <w:bookmarkEnd w:id="440"/>
      <w:bookmarkEnd w:id="441"/>
      <w:bookmarkEnd w:id="442"/>
      <w:bookmarkEnd w:id="447"/>
    </w:p>
    <w:bookmarkEnd w:id="443"/>
    <w:bookmarkEnd w:id="444"/>
    <w:bookmarkEnd w:id="445"/>
    <w:bookmarkEnd w:id="446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8" w:name="_Toc316996222"/>
      <w:bookmarkStart w:id="449" w:name="_Toc441159993"/>
      <w:bookmarkStart w:id="450" w:name="_Toc441163006"/>
      <w:bookmarkStart w:id="451" w:name="_Toc442259965"/>
      <w:bookmarkStart w:id="452" w:name="_Toc478137473"/>
      <w:bookmarkStart w:id="453" w:name="_Toc532296862"/>
      <w:bookmarkStart w:id="454" w:name="_Ref363476663"/>
      <w:bookmarkStart w:id="455" w:name="_Toc436070989"/>
      <w:bookmarkStart w:id="456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8"/>
      <w:r w:rsidRPr="00BD0F4E">
        <w:rPr>
          <w:b/>
          <w:lang w:val="x-none" w:eastAsia="x-none"/>
        </w:rPr>
        <w:footnoteReference w:id="18"/>
      </w:r>
      <w:bookmarkEnd w:id="449"/>
      <w:bookmarkEnd w:id="450"/>
      <w:bookmarkEnd w:id="451"/>
      <w:bookmarkEnd w:id="452"/>
      <w:bookmarkEnd w:id="453"/>
      <w:bookmarkEnd w:id="454"/>
      <w:bookmarkEnd w:id="455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6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BD0F4E">
        <w:rPr>
          <w:iCs/>
        </w:rPr>
        <w:t>т.ч</w:t>
      </w:r>
      <w:proofErr w:type="spellEnd"/>
      <w:r w:rsidRPr="00BD0F4E">
        <w:rPr>
          <w:iCs/>
        </w:rPr>
        <w:t>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0"/>
      <w:bookmarkStart w:id="458" w:name="_Toc441159994"/>
      <w:bookmarkStart w:id="459" w:name="_Toc441163007"/>
      <w:bookmarkStart w:id="460" w:name="_Toc442259966"/>
      <w:bookmarkStart w:id="461" w:name="_Toc478137474"/>
      <w:bookmarkStart w:id="462" w:name="_Toc532296863"/>
      <w:bookmarkEnd w:id="457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8"/>
      <w:bookmarkEnd w:id="459"/>
      <w:bookmarkEnd w:id="460"/>
      <w:bookmarkEnd w:id="461"/>
      <w:bookmarkEnd w:id="462"/>
      <w:r w:rsidR="00CF5024" w:rsidRPr="00BD0F4E">
        <w:rPr>
          <w:b/>
          <w:lang w:val="x-none" w:eastAsia="x-none"/>
        </w:rPr>
        <w:t>(Форма 9)</w:t>
      </w:r>
      <w:bookmarkEnd w:id="463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BD0F4E">
        <w:rPr>
          <w:b/>
        </w:rPr>
        <w:t>неустоек )</w:t>
      </w:r>
      <w:proofErr w:type="gramEnd"/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64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5"/>
      <w:bookmarkEnd w:id="466"/>
      <w:r w:rsidRPr="00BD0F4E">
        <w:rPr>
          <w:b/>
          <w:lang w:val="x-none" w:eastAsia="x-none"/>
        </w:rPr>
        <w:t xml:space="preserve"> </w:t>
      </w:r>
      <w:bookmarkEnd w:id="467"/>
      <w:bookmarkEnd w:id="468"/>
      <w:r w:rsidR="00CF5024" w:rsidRPr="00BD0F4E">
        <w:rPr>
          <w:b/>
          <w:lang w:val="x-none" w:eastAsia="x-none"/>
        </w:rPr>
        <w:t>(Форма 10)</w:t>
      </w:r>
      <w:bookmarkEnd w:id="469"/>
    </w:p>
    <w:p w:rsidR="000F3F88" w:rsidRPr="00BD0F4E" w:rsidRDefault="000F3F88" w:rsidP="000F3F88"/>
    <w:p w:rsidR="000F3F88" w:rsidRPr="00BD0F4E" w:rsidRDefault="00CF502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</w:t>
      </w:r>
      <w:proofErr w:type="gramEnd"/>
      <w:r w:rsidR="000F3F88" w:rsidRPr="00BD0F4E">
        <w:t>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0" w:name="ф12"/>
      <w:bookmarkStart w:id="471" w:name="_Toc441159995"/>
      <w:bookmarkStart w:id="472" w:name="_Toc441163009"/>
      <w:bookmarkStart w:id="473" w:name="_Toc442259968"/>
      <w:bookmarkStart w:id="474" w:name="_Toc478137476"/>
      <w:bookmarkStart w:id="475" w:name="_Toc532296865"/>
      <w:bookmarkEnd w:id="470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6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1"/>
      <w:bookmarkEnd w:id="472"/>
      <w:bookmarkEnd w:id="473"/>
      <w:bookmarkEnd w:id="474"/>
      <w:bookmarkEnd w:id="475"/>
      <w:r w:rsidR="00CF5024" w:rsidRPr="00BD0F4E">
        <w:rPr>
          <w:b/>
          <w:lang w:val="x-none" w:eastAsia="x-none"/>
        </w:rPr>
        <w:t xml:space="preserve"> (Форма 11)</w:t>
      </w:r>
      <w:bookmarkEnd w:id="476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</w:t>
      </w:r>
      <w:proofErr w:type="gramEnd"/>
      <w:r w:rsidR="000F3F88" w:rsidRPr="00BD0F4E">
        <w:t>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1"/>
      <w:r w:rsidRPr="00BD0F4E">
        <w:rPr>
          <w:b/>
          <w:lang w:val="x-none" w:eastAsia="x-none"/>
        </w:rPr>
        <w:t>Приложения к Документации</w:t>
      </w:r>
      <w:bookmarkEnd w:id="477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  <w:bookmarkStart w:id="478" w:name="_GoBack"/>
      <w:bookmarkEnd w:id="478"/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BC8" w:rsidRDefault="00555BC8">
      <w:r>
        <w:separator/>
      </w:r>
    </w:p>
  </w:endnote>
  <w:endnote w:type="continuationSeparator" w:id="0">
    <w:p w:rsidR="00555BC8" w:rsidRDefault="00555BC8">
      <w:r>
        <w:continuationSeparator/>
      </w:r>
    </w:p>
  </w:endnote>
  <w:endnote w:type="continuationNotice" w:id="1">
    <w:p w:rsidR="00555BC8" w:rsidRDefault="00555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Default="001B398B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1B398B" w:rsidRDefault="001B398B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Pr="008468B1" w:rsidRDefault="001B398B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B6205">
      <w:rPr>
        <w:noProof/>
        <w:sz w:val="20"/>
      </w:rPr>
      <w:t>27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Pr="00757D07" w:rsidRDefault="001B398B" w:rsidP="00757D07">
    <w:pPr>
      <w:pStyle w:val="ac"/>
    </w:pPr>
  </w:p>
  <w:p w:rsidR="001B398B" w:rsidRDefault="001B398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Default="001B398B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B398B" w:rsidRDefault="001B398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BC8" w:rsidRDefault="00555BC8">
      <w:r>
        <w:separator/>
      </w:r>
    </w:p>
  </w:footnote>
  <w:footnote w:type="continuationSeparator" w:id="0">
    <w:p w:rsidR="00555BC8" w:rsidRDefault="00555BC8">
      <w:r>
        <w:continuationSeparator/>
      </w:r>
    </w:p>
  </w:footnote>
  <w:footnote w:type="continuationNotice" w:id="1">
    <w:p w:rsidR="00555BC8" w:rsidRDefault="00555BC8"/>
  </w:footnote>
  <w:footnote w:id="2">
    <w:p w:rsidR="001B398B" w:rsidRPr="00CA0E1A" w:rsidRDefault="001B398B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1B398B" w:rsidRDefault="001B398B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1B398B" w:rsidRPr="0017136C" w:rsidRDefault="001B398B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1B398B" w:rsidRPr="0017136C" w:rsidRDefault="001B398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1B398B" w:rsidRPr="0017136C" w:rsidRDefault="001B398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1B398B" w:rsidRPr="0017136C" w:rsidRDefault="001B398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1B398B" w:rsidRPr="0017136C" w:rsidRDefault="001B398B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1B398B" w:rsidRPr="000E3DE9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1B398B" w:rsidRPr="000E3DE9" w:rsidRDefault="001B398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1B398B" w:rsidRPr="000E3DE9" w:rsidRDefault="001B398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1B398B" w:rsidRPr="000E3DE9" w:rsidRDefault="001B398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1B398B" w:rsidRPr="000E3DE9" w:rsidRDefault="001B398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1B398B" w:rsidRPr="000E3DE9" w:rsidRDefault="001B398B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1B398B" w:rsidRPr="000E3DE9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1B398B" w:rsidRPr="000E3DE9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1B398B" w:rsidRPr="000E3DE9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1B398B" w:rsidRPr="000E3DE9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1B398B" w:rsidRPr="00E276AD" w:rsidRDefault="001B398B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1B398B" w:rsidRPr="00B41A36" w:rsidRDefault="001B398B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1B398B" w:rsidRPr="002B7B2D" w:rsidRDefault="001B398B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1B398B" w:rsidRPr="002B7B2D" w:rsidRDefault="001B398B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1B398B" w:rsidRPr="00C9607B" w:rsidRDefault="001B398B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1B398B" w:rsidRDefault="001B398B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1B398B" w:rsidRPr="005348DB" w:rsidRDefault="001B398B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1B398B" w:rsidRPr="005348DB" w:rsidRDefault="001B398B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1B398B" w:rsidRDefault="001B398B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1B398B" w:rsidRDefault="001B398B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Default="001B398B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1B398B" w:rsidRPr="00711D68" w:rsidRDefault="001B398B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398B" w:rsidRDefault="001B398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Pr="00484249" w:rsidRDefault="001B398B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CB6205">
      <w:rPr>
        <w:i/>
      </w:rPr>
      <w:t>001</w:t>
    </w:r>
    <w:r w:rsidRPr="00484249">
      <w:rPr>
        <w:i/>
      </w:rPr>
      <w:t xml:space="preserve"> (№1000</w:t>
    </w:r>
    <w:r>
      <w:rPr>
        <w:i/>
      </w:rPr>
      <w:t>9</w:t>
    </w:r>
    <w:r w:rsidR="00CB6205">
      <w:rPr>
        <w:i/>
      </w:rPr>
      <w:t>73988</w:t>
    </w:r>
    <w:r w:rsidRPr="00484249">
      <w:rPr>
        <w:i/>
      </w:rPr>
      <w:t>)</w:t>
    </w:r>
  </w:p>
  <w:p w:rsidR="001B398B" w:rsidRPr="002F5726" w:rsidRDefault="001B398B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</w:t>
    </w:r>
    <w:r w:rsidR="00CB6205">
      <w:rPr>
        <w:i/>
      </w:rPr>
      <w:t>12033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05" w:rsidRPr="00484249" w:rsidRDefault="00CB6205" w:rsidP="00CB6205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002-001</w:t>
    </w:r>
    <w:r w:rsidRPr="00484249">
      <w:rPr>
        <w:i/>
      </w:rPr>
      <w:t xml:space="preserve"> (№1000</w:t>
    </w:r>
    <w:r>
      <w:rPr>
        <w:i/>
      </w:rPr>
      <w:t>973988</w:t>
    </w:r>
    <w:r w:rsidRPr="00484249">
      <w:rPr>
        <w:i/>
      </w:rPr>
      <w:t>)</w:t>
    </w:r>
  </w:p>
  <w:p w:rsidR="001B398B" w:rsidRDefault="00CB6205" w:rsidP="00CB6205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22/4.3/0012033</w:t>
    </w:r>
    <w:r w:rsidRPr="00484249">
      <w:rPr>
        <w:i/>
      </w:rPr>
      <w:t>/ГТБ)</w:t>
    </w:r>
  </w:p>
  <w:p w:rsidR="001B398B" w:rsidRPr="0083458C" w:rsidRDefault="001B398B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05" w:rsidRPr="00484249" w:rsidRDefault="00CB6205" w:rsidP="00CB6205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002-001</w:t>
    </w:r>
    <w:r w:rsidRPr="00484249">
      <w:rPr>
        <w:i/>
      </w:rPr>
      <w:t xml:space="preserve"> (№1000</w:t>
    </w:r>
    <w:r>
      <w:rPr>
        <w:i/>
      </w:rPr>
      <w:t>973988</w:t>
    </w:r>
    <w:r w:rsidRPr="00484249">
      <w:rPr>
        <w:i/>
      </w:rPr>
      <w:t>)</w:t>
    </w:r>
  </w:p>
  <w:p w:rsidR="001B398B" w:rsidRPr="002F5726" w:rsidRDefault="00CB6205" w:rsidP="00CB6205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22/4.3/0012033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Default="001B398B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1B398B" w:rsidRDefault="001B398B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1B398B" w:rsidRPr="00CF5E92" w:rsidRDefault="001B398B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05" w:rsidRPr="00484249" w:rsidRDefault="00CB6205" w:rsidP="00CB6205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002-001</w:t>
    </w:r>
    <w:r w:rsidRPr="00484249">
      <w:rPr>
        <w:i/>
      </w:rPr>
      <w:t xml:space="preserve"> (№1000</w:t>
    </w:r>
    <w:r>
      <w:rPr>
        <w:i/>
      </w:rPr>
      <w:t>973988</w:t>
    </w:r>
    <w:r w:rsidRPr="00484249">
      <w:rPr>
        <w:i/>
      </w:rPr>
      <w:t>)</w:t>
    </w:r>
  </w:p>
  <w:p w:rsidR="001B398B" w:rsidRPr="002F5726" w:rsidRDefault="00CB6205" w:rsidP="00CB6205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22/4.3/0012033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05" w:rsidRPr="00484249" w:rsidRDefault="00CB6205" w:rsidP="00CB6205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002-001</w:t>
    </w:r>
    <w:r w:rsidRPr="00484249">
      <w:rPr>
        <w:i/>
      </w:rPr>
      <w:t xml:space="preserve"> (№1000</w:t>
    </w:r>
    <w:r>
      <w:rPr>
        <w:i/>
      </w:rPr>
      <w:t>973988</w:t>
    </w:r>
    <w:r w:rsidRPr="00484249">
      <w:rPr>
        <w:i/>
      </w:rPr>
      <w:t>)</w:t>
    </w:r>
  </w:p>
  <w:p w:rsidR="001B398B" w:rsidRDefault="00CB6205" w:rsidP="00CB6205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22/4.3/0012033</w:t>
    </w:r>
    <w:r w:rsidRPr="00484249">
      <w:rPr>
        <w:i/>
      </w:rPr>
      <w:t>/ГТБ)</w:t>
    </w:r>
  </w:p>
  <w:p w:rsidR="001B398B" w:rsidRDefault="001B398B" w:rsidP="004225C6">
    <w:pPr>
      <w:jc w:val="right"/>
      <w:rPr>
        <w:i/>
      </w:rPr>
    </w:pPr>
  </w:p>
  <w:p w:rsidR="001B398B" w:rsidRPr="002F5726" w:rsidRDefault="001B398B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98B" w:rsidRDefault="001B398B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B398B" w:rsidRDefault="001B398B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205" w:rsidRPr="00484249" w:rsidRDefault="00CB6205" w:rsidP="00CB6205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002-001</w:t>
    </w:r>
    <w:r w:rsidRPr="00484249">
      <w:rPr>
        <w:i/>
      </w:rPr>
      <w:t xml:space="preserve"> (№1000</w:t>
    </w:r>
    <w:r>
      <w:rPr>
        <w:i/>
      </w:rPr>
      <w:t>973988</w:t>
    </w:r>
    <w:r w:rsidRPr="00484249">
      <w:rPr>
        <w:i/>
      </w:rPr>
      <w:t>)</w:t>
    </w:r>
  </w:p>
  <w:p w:rsidR="001B398B" w:rsidRDefault="00CB6205" w:rsidP="00CB6205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22/4.3/0012033</w:t>
    </w:r>
    <w:r w:rsidRPr="00484249">
      <w:rPr>
        <w:i/>
      </w:rPr>
      <w:t>/ГТБ)</w:t>
    </w:r>
  </w:p>
  <w:p w:rsidR="001B398B" w:rsidRPr="002F5726" w:rsidRDefault="001B398B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98B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910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E6C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1EF1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4893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0A79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472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BC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216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7BA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180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205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653D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35D1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881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399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42E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0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300E-B0EB-4AAC-A293-D6F7A5F57F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ABF2D-FAB8-4D04-8A9E-A31CB988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11339</Words>
  <Characters>64638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75826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12</cp:revision>
  <cp:lastPrinted>2022-02-14T05:40:00Z</cp:lastPrinted>
  <dcterms:created xsi:type="dcterms:W3CDTF">2021-11-08T10:26:00Z</dcterms:created>
  <dcterms:modified xsi:type="dcterms:W3CDTF">2022-02-14T05:41:00Z</dcterms:modified>
</cp:coreProperties>
</file>